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B0F" w:rsidRDefault="00C355DF">
      <w:pPr>
        <w:spacing w:after="60"/>
        <w:jc w:val="center"/>
        <w:rPr>
          <w:iCs/>
          <w:sz w:val="22"/>
          <w:szCs w:val="22"/>
        </w:rPr>
      </w:pPr>
      <w:r>
        <w:rPr>
          <w:b/>
          <w:iCs/>
          <w:sz w:val="22"/>
          <w:szCs w:val="22"/>
        </w:rPr>
        <w:t>Табела. 9.8</w:t>
      </w:r>
      <w:r>
        <w:rPr>
          <w:iCs/>
          <w:sz w:val="22"/>
          <w:szCs w:val="22"/>
        </w:rPr>
        <w:t xml:space="preserve"> Компетентност ментора</w:t>
      </w:r>
    </w:p>
    <w:tbl>
      <w:tblPr>
        <w:tblW w:w="5000" w:type="pct"/>
        <w:jc w:val="center"/>
        <w:tblLook w:val="01E0"/>
      </w:tblPr>
      <w:tblGrid>
        <w:gridCol w:w="775"/>
        <w:gridCol w:w="45"/>
        <w:gridCol w:w="1409"/>
        <w:gridCol w:w="1262"/>
        <w:gridCol w:w="131"/>
        <w:gridCol w:w="1519"/>
        <w:gridCol w:w="298"/>
        <w:gridCol w:w="131"/>
        <w:gridCol w:w="1547"/>
        <w:gridCol w:w="410"/>
        <w:gridCol w:w="752"/>
        <w:gridCol w:w="963"/>
      </w:tblGrid>
      <w:tr w:rsidR="00385B0F" w:rsidTr="00C355DF">
        <w:trPr>
          <w:trHeight w:val="227"/>
          <w:jc w:val="center"/>
        </w:trPr>
        <w:tc>
          <w:tcPr>
            <w:tcW w:w="1888" w:type="pct"/>
            <w:gridSpan w:val="4"/>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rPr>
                <w:b/>
              </w:rPr>
              <w:t>Име и презиме</w:t>
            </w:r>
          </w:p>
        </w:tc>
        <w:tc>
          <w:tcPr>
            <w:tcW w:w="3112" w:type="pct"/>
            <w:gridSpan w:val="8"/>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rPr>
                <w:rFonts w:ascii="Liberation Serif" w:hAnsi="Liberation Serif"/>
              </w:rPr>
            </w:pPr>
            <w:r>
              <w:rPr>
                <w:rFonts w:ascii="Liberation Serif" w:hAnsi="Liberation Serif"/>
              </w:rPr>
              <w:t>Марија Димитријевић Ћирић</w:t>
            </w:r>
          </w:p>
        </w:tc>
      </w:tr>
      <w:tr w:rsidR="00385B0F" w:rsidTr="00C355DF">
        <w:trPr>
          <w:trHeight w:val="227"/>
          <w:jc w:val="center"/>
        </w:trPr>
        <w:tc>
          <w:tcPr>
            <w:tcW w:w="1888" w:type="pct"/>
            <w:gridSpan w:val="4"/>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rPr>
                <w:b/>
              </w:rPr>
              <w:t>Звање</w:t>
            </w:r>
          </w:p>
        </w:tc>
        <w:tc>
          <w:tcPr>
            <w:tcW w:w="3112" w:type="pct"/>
            <w:gridSpan w:val="8"/>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rPr>
                <w:rFonts w:ascii="Liberation Serif" w:hAnsi="Liberation Serif"/>
              </w:rPr>
            </w:pPr>
            <w:r>
              <w:rPr>
                <w:rFonts w:ascii="Liberation Serif" w:hAnsi="Liberation Serif"/>
              </w:rPr>
              <w:t>Редовни професор</w:t>
            </w:r>
          </w:p>
        </w:tc>
      </w:tr>
      <w:tr w:rsidR="00385B0F" w:rsidTr="00C355DF">
        <w:trPr>
          <w:trHeight w:val="227"/>
          <w:jc w:val="center"/>
        </w:trPr>
        <w:tc>
          <w:tcPr>
            <w:tcW w:w="1888" w:type="pct"/>
            <w:gridSpan w:val="4"/>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rPr>
                <w:b/>
              </w:rPr>
              <w:t>Ужа научна, уметничка односно стручна  област</w:t>
            </w:r>
          </w:p>
        </w:tc>
        <w:tc>
          <w:tcPr>
            <w:tcW w:w="3112" w:type="pct"/>
            <w:gridSpan w:val="8"/>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Физика честица и поља</w:t>
            </w:r>
          </w:p>
        </w:tc>
      </w:tr>
      <w:tr w:rsidR="00385B0F" w:rsidTr="00C355DF">
        <w:trPr>
          <w:trHeight w:val="227"/>
          <w:jc w:val="center"/>
        </w:trPr>
        <w:tc>
          <w:tcPr>
            <w:tcW w:w="1205"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rPr>
                <w:b/>
              </w:rPr>
              <w:t>Академска каријера</w:t>
            </w:r>
          </w:p>
        </w:tc>
        <w:tc>
          <w:tcPr>
            <w:tcW w:w="683"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Година</w:t>
            </w: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Институција</w:t>
            </w:r>
          </w:p>
        </w:tc>
        <w:tc>
          <w:tcPr>
            <w:tcW w:w="20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Ужа научна, уметничка односно стручна област</w:t>
            </w:r>
          </w:p>
        </w:tc>
      </w:tr>
      <w:tr w:rsidR="00385B0F" w:rsidTr="00C355DF">
        <w:trPr>
          <w:trHeight w:val="227"/>
          <w:jc w:val="center"/>
        </w:trPr>
        <w:tc>
          <w:tcPr>
            <w:tcW w:w="1205"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Избор у звање</w:t>
            </w:r>
          </w:p>
        </w:tc>
        <w:tc>
          <w:tcPr>
            <w:tcW w:w="683"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2020.</w:t>
            </w: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Физички факултет, Универзитет у Београду</w:t>
            </w:r>
          </w:p>
        </w:tc>
        <w:tc>
          <w:tcPr>
            <w:tcW w:w="20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Физика честица и поља</w:t>
            </w:r>
          </w:p>
        </w:tc>
      </w:tr>
      <w:tr w:rsidR="00385B0F" w:rsidTr="00C355DF">
        <w:trPr>
          <w:trHeight w:val="227"/>
          <w:jc w:val="center"/>
        </w:trPr>
        <w:tc>
          <w:tcPr>
            <w:tcW w:w="1205"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Докторат</w:t>
            </w:r>
          </w:p>
        </w:tc>
        <w:tc>
          <w:tcPr>
            <w:tcW w:w="683"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2005.</w:t>
            </w: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Ludwig-Maximilian University, Minhen</w:t>
            </w:r>
          </w:p>
        </w:tc>
        <w:tc>
          <w:tcPr>
            <w:tcW w:w="20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C355DF">
            <w:pPr>
              <w:pStyle w:val="BodyText"/>
              <w:tabs>
                <w:tab w:val="left" w:pos="567"/>
              </w:tabs>
              <w:spacing w:after="60"/>
            </w:pPr>
            <w:r>
              <w:t>Физика високих енергија, математичка физика</w:t>
            </w:r>
          </w:p>
        </w:tc>
      </w:tr>
      <w:tr w:rsidR="00385B0F" w:rsidTr="00C355DF">
        <w:trPr>
          <w:trHeight w:val="227"/>
          <w:jc w:val="center"/>
        </w:trPr>
        <w:tc>
          <w:tcPr>
            <w:tcW w:w="1205"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Магистратура</w:t>
            </w:r>
          </w:p>
        </w:tc>
        <w:tc>
          <w:tcPr>
            <w:tcW w:w="683"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2002.</w:t>
            </w: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Физички факултет, Универзитет у Београду</w:t>
            </w:r>
          </w:p>
        </w:tc>
        <w:tc>
          <w:tcPr>
            <w:tcW w:w="20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 xml:space="preserve">Физика честица </w:t>
            </w:r>
            <w:r>
              <w:t>и поља</w:t>
            </w:r>
          </w:p>
        </w:tc>
      </w:tr>
      <w:tr w:rsidR="00385B0F" w:rsidTr="00C355DF">
        <w:trPr>
          <w:trHeight w:val="227"/>
          <w:jc w:val="center"/>
        </w:trPr>
        <w:tc>
          <w:tcPr>
            <w:tcW w:w="1205"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Мастер диплома</w:t>
            </w:r>
          </w:p>
        </w:tc>
        <w:tc>
          <w:tcPr>
            <w:tcW w:w="683"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20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1205"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Диплома</w:t>
            </w:r>
          </w:p>
        </w:tc>
        <w:tc>
          <w:tcPr>
            <w:tcW w:w="683"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1998.</w:t>
            </w: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Физички факултет, Универзитет у Београду</w:t>
            </w:r>
          </w:p>
        </w:tc>
        <w:tc>
          <w:tcPr>
            <w:tcW w:w="20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Физика честица и поља</w:t>
            </w: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rPr>
                <w:b/>
              </w:rPr>
              <w:t>Списак дисертација-докторских уметничких пројеката а у којима је наставнк ментор или је био ментор у претходних 10 година</w:t>
            </w: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Р.Б.</w:t>
            </w: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 xml:space="preserve">Наслов дисертације- </w:t>
            </w:r>
            <w:r>
              <w:t>докторског уметничког пројекта</w:t>
            </w: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Име кандидата</w:t>
            </w: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*пријављена</w:t>
            </w: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 одбрањена</w:t>
            </w: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1.</w:t>
            </w: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Феноменологија некомутативног скаларног поља у равном и закривљеном простору</w:t>
            </w: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Никола Коњик</w:t>
            </w: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2018.</w:t>
            </w: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2019.</w:t>
            </w: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443"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516"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105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c>
          <w:tcPr>
            <w:tcW w:w="929"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*Година  у којој је дисертација</w:t>
            </w:r>
            <w:r>
              <w:t>-докторски уметнички пројекат  пријављена-пријављен (само за дисертације-докторске уметничке пројекте  које су у току), ** Година у којој је дисертација-докторски уметнички пројекат  одбрањена (само за дисертације-докторско уметничке пројекте  из ранијег п</w:t>
            </w:r>
            <w:r>
              <w:t>ериода)</w:t>
            </w: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rPr>
                <w:b/>
              </w:rPr>
              <w:t xml:space="preserve">Категоризација публикације научних радова  из области датог студијског програма  према класификацији ресорног Министарства просвете, науке и технолошког развоја  а у складу са допунским захтевевима  стандарда за дато поље (минимално 5 не више од </w:t>
            </w:r>
            <w:r>
              <w:rPr>
                <w:b/>
              </w:rPr>
              <w:t>20)</w:t>
            </w:r>
          </w:p>
          <w:p w:rsidR="00385B0F" w:rsidRDefault="00C355DF">
            <w:pPr>
              <w:spacing w:after="60"/>
              <w:rPr>
                <w:b/>
              </w:rPr>
            </w:pPr>
            <w:r>
              <w:rPr>
                <w:b/>
              </w:rPr>
              <w:t xml:space="preserve">Категоризација публикације уметничких референци  из области датог студијског програма  према класификацији  из Упутства  за припрему документације  за акредитацију студијског програма а у складу са допунским захтевевима  стандарда за дато поље </w:t>
            </w:r>
            <w:r>
              <w:rPr>
                <w:b/>
              </w:rPr>
              <w:t xml:space="preserve"> (минимално 5 не више од 20)</w:t>
            </w: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1.</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P. Aschieri, M. Dimitrijević, P. Kulish, F. Lizzi and J. Wess Noncommutative spacetimes: Symmetries in noncommutative geometry and field theory, Lecture notes in physics 774, Springer (2009)</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2.</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M. Burić, M. Dimitrijevic</w:t>
            </w:r>
            <w:r>
              <w:t>́, V. Radovanović, Quantum corrections for BTZ black hole via 2D reduced model, Phys. Rev. D 65, 064022-064034 (2002).</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3.</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 xml:space="preserve">M. Dimitrijević, L. Jonke, L. Möller, E. Tsouchnika, J. Wess and M. Wohlgenannt, </w:t>
            </w:r>
            <w:r>
              <w:t>Deformed Field Theory on kappa-spacetime, Eur. P</w:t>
            </w:r>
            <w:r>
              <w:t>hys. J. C31, 129 (2003).</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4.</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 xml:space="preserve">P. Aschieri, C. Blohmann, M. Dimitrijević, F. Meyer, P. Schupp and J. Wess, A </w:t>
            </w:r>
            <w:r>
              <w:t xml:space="preserve">Gravity </w:t>
            </w:r>
            <w:r>
              <w:lastRenderedPageBreak/>
              <w:t>Theory on Noncommutative Spaces, Class. Quant. Grav. 22, 3511 (2005).</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lastRenderedPageBreak/>
              <w:t>5.</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 xml:space="preserve">P. Aschieri, M. Dimitrijević, F. Meyer and J. Wess, Noncommutative Geometry and </w:t>
            </w:r>
            <w:r>
              <w:t>Gravity, Class. Quant. Grav. 23, 1883 (2006).</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6.</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 xml:space="preserve">M. Dimitrijević and L. Jonke, A Twisted look on kappa-Minkowski: U(1) gauge </w:t>
            </w:r>
            <w:r>
              <w:t>theory, JHEP 1112, 080 (2011).</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7.</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M. Dimitrij</w:t>
            </w:r>
            <w:r>
              <w:t xml:space="preserve">ević Ćirić, B. Nikolić and V. Radovanović, NC SO(2, 3)* gravity: </w:t>
            </w:r>
            <w:r>
              <w:t>noncommutativity as a source of curvature and torsion, Phys. Rev. D 87, 024017 (2017).</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8.</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M. Dimitrijević Ćirić, N. Konjik, M. Kurkov, F. Lizzi, and P. Vitale, Noncommuta</w:t>
            </w:r>
            <w:r>
              <w:t xml:space="preserve">tive </w:t>
            </w:r>
            <w:r>
              <w:t>Angular Twist Field Theory, Phys. Rev. D 98 (2018) no.8, 085011</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9.</w:t>
            </w:r>
          </w:p>
        </w:tc>
        <w:tc>
          <w:tcPr>
            <w:tcW w:w="4060"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 xml:space="preserve">P. Aschieri, M. Dimitrijević Ćirić and R. Szabo, Nonassociative differential geometry </w:t>
            </w:r>
            <w:r>
              <w:t>and gravity with non-geometric fluxes, JHEP 1802, 036 (2018)</w:t>
            </w:r>
          </w:p>
        </w:tc>
        <w:tc>
          <w:tcPr>
            <w:tcW w:w="521"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419" w:type="pct"/>
            <w:tcBorders>
              <w:left w:val="single" w:sz="4" w:space="0" w:color="000000"/>
              <w:bottom w:val="single" w:sz="4" w:space="0" w:color="000000"/>
              <w:right w:val="single" w:sz="4" w:space="0" w:color="000000"/>
            </w:tcBorders>
            <w:vAlign w:val="center"/>
          </w:tcPr>
          <w:p w:rsidR="00385B0F" w:rsidRDefault="00C355DF">
            <w:pPr>
              <w:spacing w:after="60"/>
              <w:rPr>
                <w:sz w:val="18"/>
                <w:szCs w:val="18"/>
              </w:rPr>
            </w:pPr>
            <w:r>
              <w:rPr>
                <w:sz w:val="18"/>
                <w:szCs w:val="18"/>
              </w:rPr>
              <w:t>10.</w:t>
            </w:r>
          </w:p>
        </w:tc>
        <w:tc>
          <w:tcPr>
            <w:tcW w:w="4060" w:type="pct"/>
            <w:gridSpan w:val="10"/>
            <w:tcBorders>
              <w:left w:val="single" w:sz="4" w:space="0" w:color="000000"/>
              <w:bottom w:val="single" w:sz="4" w:space="0" w:color="000000"/>
              <w:right w:val="single" w:sz="4" w:space="0" w:color="000000"/>
            </w:tcBorders>
            <w:vAlign w:val="center"/>
          </w:tcPr>
          <w:p w:rsidR="00385B0F" w:rsidRDefault="00C355DF">
            <w:pPr>
              <w:tabs>
                <w:tab w:val="left" w:pos="567"/>
              </w:tabs>
              <w:spacing w:after="60"/>
              <w:rPr>
                <w:rFonts w:ascii="Liberation Serif" w:hAnsi="Liberation Serif"/>
                <w:color w:val="000000"/>
                <w:sz w:val="18"/>
              </w:rPr>
            </w:pPr>
            <w:r>
              <w:rPr>
                <w:rFonts w:ascii="Liberation Serif" w:hAnsi="Liberation Serif"/>
                <w:color w:val="000000"/>
                <w:sz w:val="18"/>
              </w:rPr>
              <w:t>M. Dimitrijevic Ciric, G. Gioto</w:t>
            </w:r>
            <w:r>
              <w:rPr>
                <w:rFonts w:ascii="Liberation Serif" w:hAnsi="Liberation Serif"/>
                <w:color w:val="000000"/>
                <w:sz w:val="18"/>
              </w:rPr>
              <w:t>poulos, V. Radovanovic, R. J. Szabo, $L_\infty$-Algebras of Einstein-Cartan-Palatini Gravity, Journal of Mathematical Physics, Vol.61, Issue 11 (2020).</w:t>
            </w:r>
          </w:p>
        </w:tc>
        <w:tc>
          <w:tcPr>
            <w:tcW w:w="521" w:type="pct"/>
            <w:tcBorders>
              <w:left w:val="single" w:sz="4" w:space="0" w:color="000000"/>
              <w:bottom w:val="single" w:sz="4" w:space="0" w:color="000000"/>
              <w:right w:val="single" w:sz="4" w:space="0" w:color="000000"/>
            </w:tcBorders>
            <w:vAlign w:val="center"/>
          </w:tcPr>
          <w:p w:rsidR="00385B0F" w:rsidRDefault="00385B0F">
            <w:pPr>
              <w:spacing w:after="60"/>
            </w:pPr>
          </w:p>
        </w:tc>
      </w:tr>
      <w:tr w:rsidR="00385B0F" w:rsidTr="00C355DF">
        <w:trPr>
          <w:trHeight w:val="227"/>
          <w:jc w:val="center"/>
        </w:trPr>
        <w:tc>
          <w:tcPr>
            <w:tcW w:w="419" w:type="pct"/>
            <w:tcBorders>
              <w:left w:val="single" w:sz="4" w:space="0" w:color="000000"/>
              <w:bottom w:val="single" w:sz="4" w:space="0" w:color="000000"/>
              <w:right w:val="single" w:sz="4" w:space="0" w:color="000000"/>
            </w:tcBorders>
            <w:vAlign w:val="center"/>
          </w:tcPr>
          <w:p w:rsidR="00385B0F" w:rsidRDefault="00C355DF">
            <w:pPr>
              <w:spacing w:after="60"/>
              <w:rPr>
                <w:sz w:val="18"/>
                <w:szCs w:val="18"/>
              </w:rPr>
            </w:pPr>
            <w:r>
              <w:rPr>
                <w:sz w:val="18"/>
                <w:szCs w:val="18"/>
              </w:rPr>
              <w:t>11.</w:t>
            </w:r>
          </w:p>
        </w:tc>
        <w:tc>
          <w:tcPr>
            <w:tcW w:w="4060" w:type="pct"/>
            <w:gridSpan w:val="10"/>
            <w:tcBorders>
              <w:left w:val="single" w:sz="4" w:space="0" w:color="000000"/>
              <w:bottom w:val="single" w:sz="4" w:space="0" w:color="000000"/>
              <w:right w:val="single" w:sz="4" w:space="0" w:color="000000"/>
            </w:tcBorders>
            <w:vAlign w:val="center"/>
          </w:tcPr>
          <w:p w:rsidR="00385B0F" w:rsidRDefault="00C355DF">
            <w:pPr>
              <w:tabs>
                <w:tab w:val="left" w:pos="567"/>
              </w:tabs>
              <w:spacing w:after="60"/>
              <w:rPr>
                <w:rFonts w:ascii="Liberation Serif" w:hAnsi="Liberation Serif"/>
                <w:color w:val="000000"/>
                <w:sz w:val="18"/>
              </w:rPr>
            </w:pPr>
            <w:r>
              <w:rPr>
                <w:rFonts w:ascii="Liberation Serif" w:hAnsi="Liberation Serif"/>
                <w:color w:val="000000"/>
                <w:sz w:val="18"/>
              </w:rPr>
              <w:t xml:space="preserve">M. Dimitrijevic Ciric, N. Konjik, A. Samsarov, Noncommutative scalar field in the nonextremal </w:t>
            </w:r>
            <w:r>
              <w:rPr>
                <w:rFonts w:ascii="Liberation Serif" w:hAnsi="Liberation Serif"/>
                <w:color w:val="000000"/>
                <w:sz w:val="18"/>
              </w:rPr>
              <w:t>Reissner-Nordström background: Quasinormal mode spectrum, Phys. Rev. D 101 (2020) 11, 116009.</w:t>
            </w:r>
          </w:p>
        </w:tc>
        <w:tc>
          <w:tcPr>
            <w:tcW w:w="521" w:type="pct"/>
            <w:tcBorders>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rPr>
                <w:b/>
              </w:rPr>
              <w:t>Збирни подаци научне активност наставника</w:t>
            </w: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rPr>
                <w:b/>
              </w:rPr>
              <w:t>Збирни подаци уметничке  активност наставника</w:t>
            </w:r>
          </w:p>
        </w:tc>
      </w:tr>
      <w:tr w:rsidR="00385B0F" w:rsidTr="00C355DF">
        <w:trPr>
          <w:trHeight w:val="227"/>
          <w:jc w:val="center"/>
        </w:trPr>
        <w:tc>
          <w:tcPr>
            <w:tcW w:w="2781"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Укупан број цитата, без аутоцитата</w:t>
            </w:r>
          </w:p>
        </w:tc>
        <w:tc>
          <w:tcPr>
            <w:tcW w:w="2219"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pStyle w:val="Heading3"/>
              <w:numPr>
                <w:ilvl w:val="2"/>
                <w:numId w:val="2"/>
              </w:numPr>
              <w:tabs>
                <w:tab w:val="left" w:pos="567"/>
              </w:tabs>
              <w:spacing w:before="0" w:after="60"/>
              <w:rPr>
                <w:sz w:val="20"/>
                <w:szCs w:val="20"/>
              </w:rPr>
            </w:pPr>
            <w:r>
              <w:rPr>
                <w:b w:val="0"/>
                <w:color w:val="505050"/>
                <w:sz w:val="20"/>
                <w:szCs w:val="20"/>
              </w:rPr>
              <w:t>1153</w:t>
            </w:r>
          </w:p>
        </w:tc>
      </w:tr>
      <w:tr w:rsidR="00385B0F" w:rsidTr="00C355DF">
        <w:trPr>
          <w:trHeight w:val="227"/>
          <w:jc w:val="center"/>
        </w:trPr>
        <w:tc>
          <w:tcPr>
            <w:tcW w:w="2781"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 xml:space="preserve">Укупан број радова са SCI </w:t>
            </w:r>
            <w:r>
              <w:t>(или SSCI) листе</w:t>
            </w:r>
          </w:p>
        </w:tc>
        <w:tc>
          <w:tcPr>
            <w:tcW w:w="2219"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34</w:t>
            </w:r>
          </w:p>
        </w:tc>
      </w:tr>
      <w:tr w:rsidR="00385B0F" w:rsidTr="00C355DF">
        <w:trPr>
          <w:trHeight w:val="227"/>
          <w:jc w:val="center"/>
        </w:trPr>
        <w:tc>
          <w:tcPr>
            <w:tcW w:w="2781"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t>Тренутно учешће на пројектима</w:t>
            </w:r>
          </w:p>
        </w:tc>
        <w:tc>
          <w:tcPr>
            <w:tcW w:w="1069"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t>Домаћи</w:t>
            </w:r>
            <w:r>
              <w:t>: 0</w:t>
            </w:r>
          </w:p>
        </w:tc>
        <w:tc>
          <w:tcPr>
            <w:tcW w:w="1150"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t xml:space="preserve">Међународни: </w:t>
            </w:r>
            <w:r>
              <w:t xml:space="preserve"> 2</w:t>
            </w:r>
          </w:p>
        </w:tc>
      </w:tr>
      <w:tr w:rsidR="00385B0F" w:rsidTr="00C355DF">
        <w:trPr>
          <w:trHeight w:val="227"/>
          <w:jc w:val="center"/>
        </w:trPr>
        <w:tc>
          <w:tcPr>
            <w:tcW w:w="2781"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t>Усавршавања</w:t>
            </w:r>
          </w:p>
        </w:tc>
        <w:tc>
          <w:tcPr>
            <w:tcW w:w="1069"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c>
          <w:tcPr>
            <w:tcW w:w="1150"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r w:rsidR="00385B0F" w:rsidTr="00C355DF">
        <w:trPr>
          <w:trHeight w:val="227"/>
          <w:jc w:val="center"/>
        </w:trPr>
        <w:tc>
          <w:tcPr>
            <w:tcW w:w="2781"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t>Други подаци које сматрате релевантним</w:t>
            </w:r>
          </w:p>
        </w:tc>
        <w:tc>
          <w:tcPr>
            <w:tcW w:w="2219"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INFN постдок позиција 2007-2008 и 2009-2010 на Универзитету у Торину.</w:t>
            </w:r>
          </w:p>
        </w:tc>
      </w:tr>
      <w:tr w:rsidR="00385B0F" w:rsidTr="00C355DF">
        <w:trPr>
          <w:trHeight w:val="227"/>
          <w:jc w:val="center"/>
        </w:trPr>
        <w:tc>
          <w:tcPr>
            <w:tcW w:w="2781"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rPr>
            </w:pPr>
            <w:r>
              <w:t>Максимална дужине несме бити већа од  2 странице А4</w:t>
            </w:r>
          </w:p>
        </w:tc>
        <w:tc>
          <w:tcPr>
            <w:tcW w:w="2219"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rPr>
            </w:pPr>
          </w:p>
        </w:tc>
      </w:tr>
    </w:tbl>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385B0F"/>
    <w:p w:rsidR="00385B0F" w:rsidRDefault="00C355DF">
      <w:pPr>
        <w:spacing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tblW w:w="5000" w:type="pct"/>
        <w:jc w:val="center"/>
        <w:tblLook w:val="01E0"/>
      </w:tblPr>
      <w:tblGrid>
        <w:gridCol w:w="835"/>
        <w:gridCol w:w="48"/>
        <w:gridCol w:w="1355"/>
        <w:gridCol w:w="1057"/>
        <w:gridCol w:w="128"/>
        <w:gridCol w:w="1542"/>
        <w:gridCol w:w="292"/>
        <w:gridCol w:w="183"/>
        <w:gridCol w:w="1545"/>
        <w:gridCol w:w="408"/>
        <w:gridCol w:w="808"/>
        <w:gridCol w:w="1041"/>
      </w:tblGrid>
      <w:tr w:rsidR="00385B0F" w:rsidTr="00C355DF">
        <w:trPr>
          <w:trHeight w:val="227"/>
          <w:jc w:val="center"/>
        </w:trPr>
        <w:tc>
          <w:tcPr>
            <w:tcW w:w="1783" w:type="pct"/>
            <w:gridSpan w:val="4"/>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b/>
                <w:sz w:val="22"/>
                <w:szCs w:val="22"/>
                <w:lang w:val="en-US"/>
              </w:rPr>
              <w:t>Name and family name</w:t>
            </w:r>
          </w:p>
        </w:tc>
        <w:tc>
          <w:tcPr>
            <w:tcW w:w="3217" w:type="pct"/>
            <w:gridSpan w:val="8"/>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Marija Dimitrijević Ćirić</w:t>
            </w:r>
          </w:p>
        </w:tc>
      </w:tr>
      <w:tr w:rsidR="00385B0F" w:rsidTr="00C355DF">
        <w:trPr>
          <w:trHeight w:val="227"/>
          <w:jc w:val="center"/>
        </w:trPr>
        <w:tc>
          <w:tcPr>
            <w:tcW w:w="1783" w:type="pct"/>
            <w:gridSpan w:val="4"/>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b/>
                <w:sz w:val="22"/>
                <w:szCs w:val="22"/>
                <w:lang w:val="en-US"/>
              </w:rPr>
              <w:t>Title</w:t>
            </w:r>
          </w:p>
        </w:tc>
        <w:tc>
          <w:tcPr>
            <w:tcW w:w="3217" w:type="pct"/>
            <w:gridSpan w:val="8"/>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Full professor</w:t>
            </w:r>
          </w:p>
        </w:tc>
      </w:tr>
      <w:tr w:rsidR="00385B0F" w:rsidTr="00C355DF">
        <w:trPr>
          <w:trHeight w:val="227"/>
          <w:jc w:val="center"/>
        </w:trPr>
        <w:tc>
          <w:tcPr>
            <w:tcW w:w="1783" w:type="pct"/>
            <w:gridSpan w:val="4"/>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b/>
                <w:sz w:val="22"/>
                <w:szCs w:val="22"/>
                <w:lang w:val="en-US"/>
              </w:rPr>
              <w:t>Narrow scientific area</w:t>
            </w:r>
          </w:p>
        </w:tc>
        <w:tc>
          <w:tcPr>
            <w:tcW w:w="3217" w:type="pct"/>
            <w:gridSpan w:val="8"/>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Particles and fields</w:t>
            </w:r>
          </w:p>
        </w:tc>
      </w:tr>
      <w:tr w:rsidR="00385B0F" w:rsidTr="00C355DF">
        <w:trPr>
          <w:trHeight w:val="227"/>
          <w:jc w:val="center"/>
        </w:trPr>
        <w:tc>
          <w:tcPr>
            <w:tcW w:w="121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b/>
                <w:sz w:val="22"/>
                <w:szCs w:val="22"/>
                <w:lang w:val="en-US"/>
              </w:rPr>
              <w:t>Academic career</w:t>
            </w:r>
          </w:p>
        </w:tc>
        <w:tc>
          <w:tcPr>
            <w:tcW w:w="572" w:type="pct"/>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Year</w:t>
            </w:r>
          </w:p>
        </w:tc>
        <w:tc>
          <w:tcPr>
            <w:tcW w:w="106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b/>
                <w:sz w:val="22"/>
                <w:szCs w:val="22"/>
                <w:lang w:val="en-US"/>
              </w:rPr>
              <w:t>Academic career</w:t>
            </w:r>
          </w:p>
        </w:tc>
        <w:tc>
          <w:tcPr>
            <w:tcW w:w="21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Year</w:t>
            </w:r>
          </w:p>
        </w:tc>
      </w:tr>
      <w:tr w:rsidR="00385B0F" w:rsidTr="00C355DF">
        <w:trPr>
          <w:trHeight w:val="227"/>
          <w:jc w:val="center"/>
        </w:trPr>
        <w:tc>
          <w:tcPr>
            <w:tcW w:w="121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 xml:space="preserve">Election to the </w:t>
            </w:r>
            <w:r>
              <w:rPr>
                <w:sz w:val="22"/>
                <w:szCs w:val="22"/>
                <w:lang w:val="en-US"/>
              </w:rPr>
              <w:t>title</w:t>
            </w:r>
          </w:p>
        </w:tc>
        <w:tc>
          <w:tcPr>
            <w:tcW w:w="572" w:type="pct"/>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2020.</w:t>
            </w:r>
          </w:p>
        </w:tc>
        <w:tc>
          <w:tcPr>
            <w:tcW w:w="106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Election to the title</w:t>
            </w:r>
          </w:p>
        </w:tc>
        <w:tc>
          <w:tcPr>
            <w:tcW w:w="21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385B0F">
            <w:pPr>
              <w:rPr>
                <w:sz w:val="22"/>
                <w:szCs w:val="22"/>
                <w:lang w:val="en-US"/>
              </w:rPr>
            </w:pPr>
          </w:p>
        </w:tc>
      </w:tr>
      <w:tr w:rsidR="00385B0F" w:rsidTr="00C355DF">
        <w:trPr>
          <w:trHeight w:val="227"/>
          <w:jc w:val="center"/>
        </w:trPr>
        <w:tc>
          <w:tcPr>
            <w:tcW w:w="121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PhD</w:t>
            </w:r>
          </w:p>
        </w:tc>
        <w:tc>
          <w:tcPr>
            <w:tcW w:w="572" w:type="pct"/>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2005.</w:t>
            </w:r>
          </w:p>
        </w:tc>
        <w:tc>
          <w:tcPr>
            <w:tcW w:w="106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PhD</w:t>
            </w:r>
          </w:p>
        </w:tc>
        <w:tc>
          <w:tcPr>
            <w:tcW w:w="21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385B0F">
            <w:pPr>
              <w:rPr>
                <w:sz w:val="22"/>
                <w:szCs w:val="22"/>
                <w:lang w:val="en-US"/>
              </w:rPr>
            </w:pPr>
          </w:p>
        </w:tc>
      </w:tr>
      <w:tr w:rsidR="00385B0F" w:rsidTr="00C355DF">
        <w:trPr>
          <w:trHeight w:val="227"/>
          <w:jc w:val="center"/>
        </w:trPr>
        <w:tc>
          <w:tcPr>
            <w:tcW w:w="121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Master degree</w:t>
            </w:r>
          </w:p>
        </w:tc>
        <w:tc>
          <w:tcPr>
            <w:tcW w:w="572" w:type="pct"/>
            <w:tcBorders>
              <w:top w:val="single" w:sz="4" w:space="0" w:color="000000"/>
              <w:left w:val="single" w:sz="4" w:space="0" w:color="000000"/>
              <w:bottom w:val="single" w:sz="4" w:space="0" w:color="000000"/>
              <w:right w:val="single" w:sz="4" w:space="0" w:color="000000"/>
            </w:tcBorders>
            <w:vAlign w:val="center"/>
          </w:tcPr>
          <w:p w:rsidR="00385B0F" w:rsidRDefault="00385B0F">
            <w:pPr>
              <w:rPr>
                <w:sz w:val="22"/>
                <w:szCs w:val="22"/>
                <w:lang w:val="en-US"/>
              </w:rPr>
            </w:pPr>
          </w:p>
        </w:tc>
        <w:tc>
          <w:tcPr>
            <w:tcW w:w="106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Master degree</w:t>
            </w:r>
          </w:p>
        </w:tc>
        <w:tc>
          <w:tcPr>
            <w:tcW w:w="21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385B0F">
            <w:pPr>
              <w:rPr>
                <w:sz w:val="22"/>
                <w:szCs w:val="22"/>
                <w:lang w:val="en-US"/>
              </w:rPr>
            </w:pPr>
          </w:p>
        </w:tc>
      </w:tr>
      <w:tr w:rsidR="00385B0F" w:rsidTr="00C355DF">
        <w:trPr>
          <w:trHeight w:val="227"/>
          <w:jc w:val="center"/>
        </w:trPr>
        <w:tc>
          <w:tcPr>
            <w:tcW w:w="121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Master diploma</w:t>
            </w:r>
          </w:p>
        </w:tc>
        <w:tc>
          <w:tcPr>
            <w:tcW w:w="572" w:type="pct"/>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2002.</w:t>
            </w:r>
          </w:p>
        </w:tc>
        <w:tc>
          <w:tcPr>
            <w:tcW w:w="106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Master diploma</w:t>
            </w:r>
          </w:p>
        </w:tc>
        <w:tc>
          <w:tcPr>
            <w:tcW w:w="21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385B0F">
            <w:pPr>
              <w:rPr>
                <w:sz w:val="22"/>
                <w:szCs w:val="22"/>
                <w:lang w:val="en-US"/>
              </w:rPr>
            </w:pPr>
          </w:p>
        </w:tc>
      </w:tr>
      <w:tr w:rsidR="00385B0F" w:rsidTr="00C355DF">
        <w:trPr>
          <w:trHeight w:val="227"/>
          <w:jc w:val="center"/>
        </w:trPr>
        <w:tc>
          <w:tcPr>
            <w:tcW w:w="121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Diploma</w:t>
            </w:r>
          </w:p>
        </w:tc>
        <w:tc>
          <w:tcPr>
            <w:tcW w:w="572" w:type="pct"/>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1998.</w:t>
            </w:r>
          </w:p>
        </w:tc>
        <w:tc>
          <w:tcPr>
            <w:tcW w:w="106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rPr>
                <w:sz w:val="22"/>
                <w:szCs w:val="22"/>
                <w:lang w:val="en-US"/>
              </w:rPr>
            </w:pPr>
            <w:r>
              <w:rPr>
                <w:sz w:val="22"/>
                <w:szCs w:val="22"/>
                <w:lang w:val="en-US"/>
              </w:rPr>
              <w:t>Diploma</w:t>
            </w:r>
          </w:p>
        </w:tc>
        <w:tc>
          <w:tcPr>
            <w:tcW w:w="2157" w:type="pct"/>
            <w:gridSpan w:val="5"/>
            <w:tcBorders>
              <w:top w:val="single" w:sz="4" w:space="0" w:color="000000"/>
              <w:left w:val="single" w:sz="4" w:space="0" w:color="000000"/>
              <w:bottom w:val="single" w:sz="4" w:space="0" w:color="000000"/>
              <w:right w:val="single" w:sz="4" w:space="0" w:color="000000"/>
            </w:tcBorders>
            <w:vAlign w:val="center"/>
          </w:tcPr>
          <w:p w:rsidR="00385B0F" w:rsidRDefault="00385B0F">
            <w:pPr>
              <w:rPr>
                <w:sz w:val="22"/>
                <w:szCs w:val="22"/>
                <w:lang w:val="en-US"/>
              </w:rPr>
            </w:pP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b/>
                <w:sz w:val="22"/>
                <w:szCs w:val="22"/>
                <w:lang w:val="en-US"/>
              </w:rPr>
              <w:t>A list of dissertations-doctoral art projects in which the teacher is or was a mentor in the past 10 years</w:t>
            </w: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No.</w:t>
            </w: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Title of the dissertation – doctoral art project</w:t>
            </w: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Name of the candidate</w:t>
            </w: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*submitted</w:t>
            </w: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 defended</w:t>
            </w: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 xml:space="preserve">1. </w:t>
            </w: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16"/>
                <w:szCs w:val="16"/>
                <w:lang w:val="en-US"/>
              </w:rPr>
            </w:pPr>
            <w:r>
              <w:rPr>
                <w:sz w:val="16"/>
                <w:szCs w:val="16"/>
                <w:lang w:val="en-US"/>
              </w:rPr>
              <w:t>PHENOMENOLOGY OF A</w:t>
            </w:r>
          </w:p>
          <w:p w:rsidR="00385B0F" w:rsidRDefault="00C355DF">
            <w:pPr>
              <w:spacing w:after="60"/>
              <w:rPr>
                <w:sz w:val="16"/>
                <w:szCs w:val="16"/>
                <w:lang w:val="en-US"/>
              </w:rPr>
            </w:pPr>
            <w:r>
              <w:rPr>
                <w:sz w:val="16"/>
                <w:szCs w:val="16"/>
                <w:lang w:val="en-US"/>
              </w:rPr>
              <w:t>NONCOMMUTATIVE SCALAR FIELD IN A</w:t>
            </w:r>
          </w:p>
          <w:p w:rsidR="00385B0F" w:rsidRDefault="00C355DF">
            <w:pPr>
              <w:spacing w:after="60"/>
              <w:rPr>
                <w:sz w:val="16"/>
                <w:szCs w:val="16"/>
                <w:lang w:val="en-US"/>
              </w:rPr>
            </w:pPr>
            <w:r>
              <w:rPr>
                <w:sz w:val="16"/>
                <w:szCs w:val="16"/>
                <w:lang w:val="en-US"/>
              </w:rPr>
              <w:t>FLAT AND A CURVED SPACE</w:t>
            </w: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Nikola Konjik</w:t>
            </w: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2018.</w:t>
            </w: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2019.</w:t>
            </w: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r>
      <w:tr w:rsidR="00385B0F" w:rsidTr="00C355DF">
        <w:trPr>
          <w:trHeight w:val="227"/>
          <w:jc w:val="center"/>
        </w:trPr>
        <w:tc>
          <w:tcPr>
            <w:tcW w:w="478"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374"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9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57"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c>
          <w:tcPr>
            <w:tcW w:w="1000" w:type="pct"/>
            <w:gridSpan w:val="2"/>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sz w:val="22"/>
                <w:szCs w:val="22"/>
                <w:lang w:val="en-US"/>
              </w:rPr>
            </w:pP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w:t>
            </w:r>
            <w:r>
              <w:rPr>
                <w:lang w:val="en-US"/>
              </w:rPr>
              <w:t xml:space="preserve"> </w:t>
            </w:r>
            <w:r>
              <w:rPr>
                <w:sz w:val="22"/>
                <w:szCs w:val="22"/>
                <w:lang w:val="en-US"/>
              </w:rPr>
              <w:t xml:space="preserve">Year in </w:t>
            </w:r>
            <w:r>
              <w:rPr>
                <w:sz w:val="22"/>
                <w:szCs w:val="22"/>
                <w:lang w:val="en-US"/>
              </w:rPr>
              <w:t>which the dissertation-doctoral art project was submitted (for dissertations-doctoral art projects in progress) ** The year in which the dissertation-doctoral art project was defended (only for dissertations-doctoral art projects from the previous period)</w:t>
            </w: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jc w:val="both"/>
              <w:rPr>
                <w:b/>
                <w:sz w:val="22"/>
                <w:szCs w:val="22"/>
                <w:lang w:val="en-US"/>
              </w:rPr>
            </w:pPr>
            <w:r>
              <w:rPr>
                <w:b/>
                <w:sz w:val="22"/>
                <w:szCs w:val="22"/>
                <w:lang w:val="en-US"/>
              </w:rPr>
              <w:t xml:space="preserve">Categorization of the publication of scientific papers in the field of the given study program according to the classification of the relevant Ministry of Education, Science and Technological Development and in accordance with the additional requirements </w:t>
            </w:r>
            <w:r>
              <w:rPr>
                <w:b/>
                <w:sz w:val="22"/>
                <w:szCs w:val="22"/>
                <w:lang w:val="en-US"/>
              </w:rPr>
              <w:t>of the standard for the given field (minimum 5 not more than 20)</w:t>
            </w:r>
          </w:p>
          <w:p w:rsidR="00385B0F" w:rsidRDefault="00C355DF">
            <w:pPr>
              <w:spacing w:after="60"/>
              <w:jc w:val="both"/>
              <w:rPr>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w:t>
            </w:r>
            <w:r>
              <w:rPr>
                <w:b/>
                <w:sz w:val="22"/>
                <w:szCs w:val="22"/>
                <w:lang w:val="en-US"/>
              </w:rPr>
              <w:t>editation of the study program and in accordance with the additional requirements of the standard for the given field (minimum 5 not more than 20)</w:t>
            </w: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1.</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P. Aschieri, M. Dimitrijević, P. Kulish, F. Lizzi and J. Wess Noncommutative spacetimes: Symmetries in n</w:t>
            </w:r>
            <w:r>
              <w:t>oncommutative geometry and field theory, Lecture notes in physics 774, Springer (2009)</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2.</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pPr>
            <w:r>
              <w:t>M. Burić, M. Dimitrijević, V. Radovanović, Quantum corrections for BTZ black hole via 2D reduced model, Phys. Rev. D 65, 064022-064034 (2002).</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3.</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 xml:space="preserve">M. </w:t>
            </w:r>
            <w:r>
              <w:t>Dimitrijević, L. Jonke, L. Möller, E. Tsouchnika, J. Wess and M. Wohlgenannt,</w:t>
            </w:r>
            <w:r>
              <w:rPr>
                <w:b/>
              </w:rPr>
              <w:t xml:space="preserve"> </w:t>
            </w:r>
            <w:r>
              <w:t>Deformed Field Theory on kappa-spacetime, Eur. Phys. J. C31, 129 (2003).</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4.</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P. Aschieri, C. Blohmann, M. Dimitrijević, F. Meyer, P. Schupp and J. Wess, A</w:t>
            </w:r>
            <w:r>
              <w:rPr>
                <w:b/>
              </w:rPr>
              <w:t xml:space="preserve"> </w:t>
            </w:r>
            <w:r>
              <w:t>Gravity Theory on N</w:t>
            </w:r>
            <w:r>
              <w:t>oncommutative Spaces, Class. Quant. Grav. 22, 3511 (2005).</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5.</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P. Aschieri, M. Dimitrijević, F. Meyer and J. Wess, Noncommutative Geometry and</w:t>
            </w:r>
            <w:r>
              <w:rPr>
                <w:b/>
              </w:rPr>
              <w:t xml:space="preserve"> </w:t>
            </w:r>
            <w:r>
              <w:t>Gravity, Class. Quant. Grav. 23, 1883 (2006).</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6.</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M. Dimitrijević and L. Jonke, A Twisted look on kappa-Minko</w:t>
            </w:r>
            <w:r>
              <w:t>wski: U(1) gauge</w:t>
            </w:r>
            <w:r>
              <w:rPr>
                <w:b/>
              </w:rPr>
              <w:t xml:space="preserve"> </w:t>
            </w:r>
            <w:r>
              <w:t>theory, JHEP 1112, 080 (2011).</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7.</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M. Dimitrijević Ćirić, B. Nikolić and V. Radovanović, NC SO(2, 3)* gravity:</w:t>
            </w:r>
            <w:r>
              <w:rPr>
                <w:b/>
              </w:rPr>
              <w:t xml:space="preserve"> </w:t>
            </w:r>
            <w:r>
              <w:t>noncommutativity as a source of curvature and torsion, Phys. Rev. D 87, 024017 (2017).</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8.</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 xml:space="preserve">M. Dimitrijević Ćirić, N. </w:t>
            </w:r>
            <w:r>
              <w:t>Konjik, M. Kurkov, F. Lizzi, and P. Vitale, Noncommutative Angular Twist Field Theory, Phys. Rev. D 98 (2018) no.8, 085011</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9.</w:t>
            </w:r>
          </w:p>
        </w:tc>
        <w:tc>
          <w:tcPr>
            <w:tcW w:w="3985" w:type="pct"/>
            <w:gridSpan w:val="10"/>
            <w:tcBorders>
              <w:top w:val="single" w:sz="4" w:space="0" w:color="000000"/>
              <w:left w:val="single" w:sz="4" w:space="0" w:color="000000"/>
              <w:bottom w:val="single" w:sz="4" w:space="0" w:color="000000"/>
              <w:right w:val="single" w:sz="4" w:space="0" w:color="000000"/>
            </w:tcBorders>
            <w:vAlign w:val="center"/>
          </w:tcPr>
          <w:p w:rsidR="00385B0F" w:rsidRDefault="00C355DF">
            <w:pPr>
              <w:tabs>
                <w:tab w:val="left" w:pos="567"/>
              </w:tabs>
              <w:spacing w:after="60"/>
            </w:pPr>
            <w:r>
              <w:t>P. Aschieri, M. Dimitrijević Ćirić and R. Szabo, Nonassociative differential geometr</w:t>
            </w:r>
            <w:r>
              <w:rPr>
                <w:b/>
              </w:rPr>
              <w:t xml:space="preserve">y </w:t>
            </w:r>
            <w:r>
              <w:t xml:space="preserve">and gravity with non-geometric fluxes, </w:t>
            </w:r>
            <w:r>
              <w:t>JHEP 1802, 036 (2018)</w:t>
            </w:r>
          </w:p>
        </w:tc>
        <w:tc>
          <w:tcPr>
            <w:tcW w:w="562" w:type="pct"/>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10.</w:t>
            </w:r>
          </w:p>
        </w:tc>
        <w:tc>
          <w:tcPr>
            <w:tcW w:w="3985" w:type="pct"/>
            <w:gridSpan w:val="10"/>
            <w:tcBorders>
              <w:left w:val="single" w:sz="4" w:space="0" w:color="000000"/>
              <w:bottom w:val="single" w:sz="4" w:space="0" w:color="000000"/>
              <w:right w:val="single" w:sz="4" w:space="0" w:color="000000"/>
            </w:tcBorders>
            <w:vAlign w:val="center"/>
          </w:tcPr>
          <w:p w:rsidR="00385B0F" w:rsidRDefault="00C355DF">
            <w:pPr>
              <w:tabs>
                <w:tab w:val="left" w:pos="567"/>
              </w:tabs>
              <w:spacing w:after="60"/>
              <w:rPr>
                <w:rFonts w:ascii="Liberation Serif" w:hAnsi="Liberation Serif"/>
                <w:color w:val="000000"/>
                <w:sz w:val="18"/>
              </w:rPr>
            </w:pPr>
            <w:r>
              <w:rPr>
                <w:rFonts w:ascii="Liberation Serif" w:hAnsi="Liberation Serif"/>
                <w:color w:val="000000"/>
                <w:sz w:val="18"/>
              </w:rPr>
              <w:t>M. Dimitrijevic Ciric, G. Giotopoulos, V. Radovanovic, R. J. Szabo, $L_\infty$-Algebras of Einstein-Cartan-Palatini Gravity, Journal of Mathematical Physics, Vol.61, Issue 11 (2020).</w:t>
            </w:r>
          </w:p>
        </w:tc>
        <w:tc>
          <w:tcPr>
            <w:tcW w:w="562" w:type="pct"/>
            <w:tcBorders>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452" w:type="pct"/>
            <w:tcBorders>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11.</w:t>
            </w:r>
          </w:p>
        </w:tc>
        <w:tc>
          <w:tcPr>
            <w:tcW w:w="3985" w:type="pct"/>
            <w:gridSpan w:val="10"/>
            <w:tcBorders>
              <w:left w:val="single" w:sz="4" w:space="0" w:color="000000"/>
              <w:bottom w:val="single" w:sz="4" w:space="0" w:color="000000"/>
              <w:right w:val="single" w:sz="4" w:space="0" w:color="000000"/>
            </w:tcBorders>
            <w:vAlign w:val="center"/>
          </w:tcPr>
          <w:p w:rsidR="00385B0F" w:rsidRDefault="00C355DF">
            <w:pPr>
              <w:tabs>
                <w:tab w:val="left" w:pos="567"/>
              </w:tabs>
              <w:spacing w:after="60"/>
              <w:rPr>
                <w:rFonts w:ascii="Liberation Serif" w:hAnsi="Liberation Serif"/>
                <w:color w:val="000000"/>
                <w:sz w:val="18"/>
              </w:rPr>
            </w:pPr>
            <w:r>
              <w:rPr>
                <w:rFonts w:ascii="Liberation Serif" w:hAnsi="Liberation Serif"/>
                <w:color w:val="000000"/>
                <w:sz w:val="18"/>
              </w:rPr>
              <w:t xml:space="preserve">M. Dimitrijevic Ciric, N. Konjik, A. </w:t>
            </w:r>
            <w:r>
              <w:rPr>
                <w:rFonts w:ascii="Liberation Serif" w:hAnsi="Liberation Serif"/>
                <w:color w:val="000000"/>
                <w:sz w:val="18"/>
              </w:rPr>
              <w:t>Samsarov, Noncommutative scalar field in the nonextremal Reissner-Nordström background: Quasinormal mode spectrum, Phys. Rev. D 101 (2020) 11, 116009.</w:t>
            </w:r>
          </w:p>
        </w:tc>
        <w:tc>
          <w:tcPr>
            <w:tcW w:w="562" w:type="pct"/>
            <w:tcBorders>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sz w:val="22"/>
                <w:szCs w:val="22"/>
                <w:lang w:val="en-US"/>
              </w:rPr>
            </w:pPr>
            <w:r>
              <w:rPr>
                <w:b/>
                <w:sz w:val="22"/>
                <w:szCs w:val="22"/>
                <w:lang w:val="en-US"/>
              </w:rPr>
              <w:t>Cumulative data of scientific activity of the teacher</w:t>
            </w:r>
          </w:p>
        </w:tc>
      </w:tr>
      <w:tr w:rsidR="00385B0F" w:rsidTr="00C355DF">
        <w:trPr>
          <w:trHeight w:val="227"/>
          <w:jc w:val="center"/>
        </w:trPr>
        <w:tc>
          <w:tcPr>
            <w:tcW w:w="5000" w:type="pct"/>
            <w:gridSpan w:val="12"/>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sz w:val="22"/>
                <w:szCs w:val="22"/>
                <w:lang w:val="en-US"/>
              </w:rPr>
            </w:pPr>
            <w:r>
              <w:rPr>
                <w:b/>
                <w:sz w:val="22"/>
                <w:szCs w:val="22"/>
                <w:lang w:val="en-US"/>
              </w:rPr>
              <w:t>Cumulative data of scientific activity of the te</w:t>
            </w:r>
            <w:r>
              <w:rPr>
                <w:b/>
                <w:sz w:val="22"/>
                <w:szCs w:val="22"/>
                <w:lang w:val="en-US"/>
              </w:rPr>
              <w:t>acher</w:t>
            </w:r>
          </w:p>
        </w:tc>
      </w:tr>
      <w:tr w:rsidR="00385B0F" w:rsidTr="00C355DF">
        <w:trPr>
          <w:trHeight w:val="227"/>
          <w:jc w:val="center"/>
        </w:trPr>
        <w:tc>
          <w:tcPr>
            <w:tcW w:w="2686" w:type="pct"/>
            <w:gridSpan w:val="6"/>
            <w:tcBorders>
              <w:top w:val="single" w:sz="4" w:space="0" w:color="000000"/>
              <w:left w:val="single" w:sz="4" w:space="0" w:color="000000"/>
              <w:bottom w:val="single" w:sz="4" w:space="0" w:color="000000"/>
              <w:right w:val="single" w:sz="4" w:space="0" w:color="000000"/>
            </w:tcBorders>
          </w:tcPr>
          <w:p w:rsidR="00385B0F" w:rsidRDefault="00C355DF">
            <w:pPr>
              <w:rPr>
                <w:sz w:val="22"/>
                <w:szCs w:val="22"/>
                <w:lang w:val="en-US"/>
              </w:rPr>
            </w:pPr>
            <w:r>
              <w:rPr>
                <w:sz w:val="22"/>
                <w:szCs w:val="22"/>
                <w:lang w:val="en-US"/>
              </w:rPr>
              <w:t>Total number of citations, without self citations</w:t>
            </w:r>
          </w:p>
        </w:tc>
        <w:tc>
          <w:tcPr>
            <w:tcW w:w="2314"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pStyle w:val="Heading3"/>
              <w:numPr>
                <w:ilvl w:val="2"/>
                <w:numId w:val="2"/>
              </w:numPr>
              <w:tabs>
                <w:tab w:val="left" w:pos="567"/>
              </w:tabs>
              <w:spacing w:before="0" w:after="60"/>
              <w:rPr>
                <w:sz w:val="20"/>
                <w:szCs w:val="20"/>
              </w:rPr>
            </w:pPr>
            <w:r>
              <w:rPr>
                <w:b w:val="0"/>
                <w:color w:val="505050"/>
                <w:sz w:val="20"/>
                <w:szCs w:val="20"/>
              </w:rPr>
              <w:t>1153</w:t>
            </w:r>
          </w:p>
        </w:tc>
      </w:tr>
      <w:tr w:rsidR="00385B0F" w:rsidTr="00C355DF">
        <w:trPr>
          <w:trHeight w:val="227"/>
          <w:jc w:val="center"/>
        </w:trPr>
        <w:tc>
          <w:tcPr>
            <w:tcW w:w="2686" w:type="pct"/>
            <w:gridSpan w:val="6"/>
            <w:tcBorders>
              <w:top w:val="single" w:sz="4" w:space="0" w:color="000000"/>
              <w:left w:val="single" w:sz="4" w:space="0" w:color="000000"/>
              <w:bottom w:val="single" w:sz="4" w:space="0" w:color="000000"/>
              <w:right w:val="single" w:sz="4" w:space="0" w:color="000000"/>
            </w:tcBorders>
          </w:tcPr>
          <w:p w:rsidR="00385B0F" w:rsidRDefault="00C355DF">
            <w:pPr>
              <w:rPr>
                <w:sz w:val="22"/>
                <w:szCs w:val="22"/>
                <w:lang w:val="en-US"/>
              </w:rPr>
            </w:pPr>
            <w:r>
              <w:rPr>
                <w:sz w:val="22"/>
                <w:szCs w:val="22"/>
                <w:lang w:val="en-US"/>
              </w:rPr>
              <w:t>Total number of papers on the SCI (or SSCI) list</w:t>
            </w:r>
          </w:p>
        </w:tc>
        <w:tc>
          <w:tcPr>
            <w:tcW w:w="2314"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22"/>
                <w:szCs w:val="22"/>
                <w:lang w:val="en-US"/>
              </w:rPr>
            </w:pPr>
            <w:r>
              <w:rPr>
                <w:sz w:val="22"/>
                <w:szCs w:val="22"/>
                <w:lang w:val="en-US"/>
              </w:rPr>
              <w:t>34</w:t>
            </w:r>
          </w:p>
        </w:tc>
      </w:tr>
      <w:tr w:rsidR="00385B0F" w:rsidTr="00C355DF">
        <w:trPr>
          <w:trHeight w:val="227"/>
          <w:jc w:val="center"/>
        </w:trPr>
        <w:tc>
          <w:tcPr>
            <w:tcW w:w="2686" w:type="pct"/>
            <w:gridSpan w:val="6"/>
            <w:tcBorders>
              <w:top w:val="single" w:sz="4" w:space="0" w:color="000000"/>
              <w:left w:val="single" w:sz="4" w:space="0" w:color="000000"/>
              <w:bottom w:val="single" w:sz="4" w:space="0" w:color="000000"/>
              <w:right w:val="single" w:sz="4" w:space="0" w:color="000000"/>
            </w:tcBorders>
          </w:tcPr>
          <w:p w:rsidR="00385B0F" w:rsidRDefault="00C355DF">
            <w:pPr>
              <w:rPr>
                <w:sz w:val="22"/>
                <w:szCs w:val="22"/>
                <w:lang w:val="en-US"/>
              </w:rPr>
            </w:pPr>
            <w:r>
              <w:rPr>
                <w:sz w:val="22"/>
                <w:szCs w:val="22"/>
                <w:lang w:val="en-US"/>
              </w:rPr>
              <w:t>Current participation in projects</w:t>
            </w:r>
          </w:p>
        </w:tc>
        <w:tc>
          <w:tcPr>
            <w:tcW w:w="1093"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sz w:val="22"/>
                <w:szCs w:val="22"/>
                <w:lang w:val="en-US"/>
              </w:rPr>
            </w:pPr>
            <w:r>
              <w:rPr>
                <w:sz w:val="22"/>
                <w:szCs w:val="22"/>
                <w:lang w:val="en-US"/>
              </w:rPr>
              <w:t>Domestic: 0</w:t>
            </w:r>
          </w:p>
        </w:tc>
        <w:tc>
          <w:tcPr>
            <w:tcW w:w="122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b/>
                <w:sz w:val="22"/>
                <w:szCs w:val="22"/>
                <w:lang w:val="en-US"/>
              </w:rPr>
            </w:pPr>
            <w:r>
              <w:rPr>
                <w:sz w:val="22"/>
                <w:szCs w:val="22"/>
                <w:lang w:val="en-US"/>
              </w:rPr>
              <w:t>International</w:t>
            </w:r>
            <w:r>
              <w:rPr>
                <w:sz w:val="22"/>
                <w:szCs w:val="22"/>
                <w:lang w:val="en-US"/>
              </w:rPr>
              <w:t>: 2</w:t>
            </w:r>
          </w:p>
        </w:tc>
      </w:tr>
      <w:tr w:rsidR="00385B0F" w:rsidTr="00C355DF">
        <w:trPr>
          <w:trHeight w:val="227"/>
          <w:jc w:val="center"/>
        </w:trPr>
        <w:tc>
          <w:tcPr>
            <w:tcW w:w="2686" w:type="pct"/>
            <w:gridSpan w:val="6"/>
            <w:tcBorders>
              <w:top w:val="single" w:sz="4" w:space="0" w:color="000000"/>
              <w:left w:val="single" w:sz="4" w:space="0" w:color="000000"/>
              <w:bottom w:val="single" w:sz="4" w:space="0" w:color="000000"/>
              <w:right w:val="single" w:sz="4" w:space="0" w:color="000000"/>
            </w:tcBorders>
          </w:tcPr>
          <w:p w:rsidR="00385B0F" w:rsidRDefault="00C355DF">
            <w:pPr>
              <w:rPr>
                <w:sz w:val="22"/>
                <w:szCs w:val="22"/>
                <w:lang w:val="en-US"/>
              </w:rPr>
            </w:pPr>
            <w:r>
              <w:rPr>
                <w:sz w:val="22"/>
                <w:szCs w:val="22"/>
                <w:lang w:val="en-US"/>
              </w:rPr>
              <w:t>Specialization</w:t>
            </w:r>
          </w:p>
        </w:tc>
        <w:tc>
          <w:tcPr>
            <w:tcW w:w="1093"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c>
          <w:tcPr>
            <w:tcW w:w="1221" w:type="pct"/>
            <w:gridSpan w:val="3"/>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r w:rsidR="00385B0F" w:rsidTr="00C355DF">
        <w:trPr>
          <w:trHeight w:val="227"/>
          <w:jc w:val="center"/>
        </w:trPr>
        <w:tc>
          <w:tcPr>
            <w:tcW w:w="2686" w:type="pct"/>
            <w:gridSpan w:val="6"/>
            <w:tcBorders>
              <w:top w:val="single" w:sz="4" w:space="0" w:color="000000"/>
              <w:left w:val="single" w:sz="4" w:space="0" w:color="000000"/>
              <w:bottom w:val="single" w:sz="4" w:space="0" w:color="000000"/>
              <w:right w:val="single" w:sz="4" w:space="0" w:color="000000"/>
            </w:tcBorders>
          </w:tcPr>
          <w:p w:rsidR="00385B0F" w:rsidRDefault="00C355DF">
            <w:pPr>
              <w:rPr>
                <w:lang w:val="en-US"/>
              </w:rPr>
            </w:pPr>
            <w:r>
              <w:rPr>
                <w:lang w:val="en-US"/>
              </w:rPr>
              <w:t>Other information you consider to be important</w:t>
            </w:r>
          </w:p>
        </w:tc>
        <w:tc>
          <w:tcPr>
            <w:tcW w:w="2314"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C355DF">
            <w:pPr>
              <w:spacing w:after="60"/>
              <w:rPr>
                <w:sz w:val="18"/>
                <w:szCs w:val="18"/>
                <w:lang w:val="en-US"/>
              </w:rPr>
            </w:pPr>
            <w:r>
              <w:rPr>
                <w:sz w:val="18"/>
                <w:szCs w:val="18"/>
                <w:lang w:val="en-US"/>
              </w:rPr>
              <w:t xml:space="preserve">INFN </w:t>
            </w:r>
            <w:r>
              <w:rPr>
                <w:sz w:val="18"/>
                <w:szCs w:val="18"/>
                <w:lang w:val="en-US"/>
              </w:rPr>
              <w:t>postdoc position at Universitz of Torino, 2007-2008 and 2009-2010</w:t>
            </w:r>
          </w:p>
        </w:tc>
      </w:tr>
      <w:tr w:rsidR="00385B0F" w:rsidTr="00C355DF">
        <w:trPr>
          <w:trHeight w:val="227"/>
          <w:jc w:val="center"/>
        </w:trPr>
        <w:tc>
          <w:tcPr>
            <w:tcW w:w="2686" w:type="pct"/>
            <w:gridSpan w:val="6"/>
            <w:tcBorders>
              <w:top w:val="single" w:sz="4" w:space="0" w:color="000000"/>
              <w:left w:val="single" w:sz="4" w:space="0" w:color="000000"/>
              <w:bottom w:val="single" w:sz="4" w:space="0" w:color="000000"/>
              <w:right w:val="single" w:sz="4" w:space="0" w:color="000000"/>
            </w:tcBorders>
          </w:tcPr>
          <w:p w:rsidR="00385B0F" w:rsidRDefault="00C355DF">
            <w:pPr>
              <w:rPr>
                <w:lang w:val="en-US"/>
              </w:rPr>
            </w:pPr>
            <w:r>
              <w:rPr>
                <w:lang w:val="en-US"/>
              </w:rPr>
              <w:t>Maximum length may not be over 2 А4 pages</w:t>
            </w:r>
          </w:p>
        </w:tc>
        <w:tc>
          <w:tcPr>
            <w:tcW w:w="2314" w:type="pct"/>
            <w:gridSpan w:val="6"/>
            <w:tcBorders>
              <w:top w:val="single" w:sz="4" w:space="0" w:color="000000"/>
              <w:left w:val="single" w:sz="4" w:space="0" w:color="000000"/>
              <w:bottom w:val="single" w:sz="4" w:space="0" w:color="000000"/>
              <w:right w:val="single" w:sz="4" w:space="0" w:color="000000"/>
            </w:tcBorders>
            <w:vAlign w:val="center"/>
          </w:tcPr>
          <w:p w:rsidR="00385B0F" w:rsidRDefault="00385B0F">
            <w:pPr>
              <w:spacing w:after="60"/>
              <w:rPr>
                <w:b/>
                <w:sz w:val="22"/>
                <w:szCs w:val="22"/>
                <w:lang w:val="en-US"/>
              </w:rPr>
            </w:pPr>
          </w:p>
        </w:tc>
      </w:tr>
    </w:tbl>
    <w:p w:rsidR="00385B0F" w:rsidRDefault="00385B0F"/>
    <w:sectPr w:rsidR="00385B0F" w:rsidSect="00385B0F">
      <w:pgSz w:w="11906" w:h="16838"/>
      <w:pgMar w:top="1440" w:right="1440" w:bottom="1440" w:left="1440"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Liberation Serif">
    <w:altName w:val="Times New Roman"/>
    <w:charset w:val="01"/>
    <w:family w:val="roman"/>
    <w:pitch w:val="variable"/>
    <w:sig w:usb0="00000000" w:usb1="00000000" w:usb2="00000000" w:usb3="00000000" w:csb0="00000000" w:csb1="00000000"/>
  </w:font>
  <w:font w:name="DejaVu Sans">
    <w:altName w:val="Times New Roman"/>
    <w:panose1 w:val="00000000000000000000"/>
    <w:charset w:val="00"/>
    <w:family w:val="roman"/>
    <w:notTrueType/>
    <w:pitch w:val="default"/>
    <w:sig w:usb0="00000000" w:usb1="00000000" w:usb2="00000000" w:usb3="00000000" w:csb0="00000000" w:csb1="00000000"/>
  </w:font>
  <w:font w:name="Liberation Sans">
    <w:altName w:val="Arial"/>
    <w:charset w:val="01"/>
    <w:family w:val="roman"/>
    <w:pitch w:val="variable"/>
    <w:sig w:usb0="00000000" w:usb1="00000000" w:usb2="00000000" w:usb3="00000000" w:csb0="00000000" w:csb1="00000000"/>
  </w:font>
  <w:font w:name="Noto Sans CJK SC">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22BFC"/>
    <w:multiLevelType w:val="multilevel"/>
    <w:tmpl w:val="4C76BCC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15B56436"/>
    <w:multiLevelType w:val="multilevel"/>
    <w:tmpl w:val="4B042B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4"/>
  <w:defaultTabStop w:val="720"/>
  <w:autoHyphenation/>
  <w:characterSpacingControl w:val="doNotCompress"/>
  <w:savePreviewPicture/>
  <w:compat/>
  <w:rsids>
    <w:rsidRoot w:val="00385B0F"/>
    <w:rsid w:val="00385B0F"/>
    <w:rsid w:val="00C355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pPr>
    <w:rPr>
      <w:rFonts w:ascii="Times New Roman" w:eastAsia="Cambria" w:hAnsi="Times New Roman" w:cs="Times New Roman"/>
      <w:sz w:val="20"/>
      <w:szCs w:val="20"/>
      <w:lang w:val="sr-Latn-CS" w:eastAsia="sr-Latn-CS"/>
    </w:rPr>
  </w:style>
  <w:style w:type="paragraph" w:styleId="Heading3">
    <w:name w:val="heading 3"/>
    <w:basedOn w:val="Heading"/>
    <w:next w:val="BodyText"/>
    <w:qFormat/>
    <w:rsid w:val="00385B0F"/>
    <w:pPr>
      <w:numPr>
        <w:ilvl w:val="2"/>
        <w:numId w:val="1"/>
      </w:numPr>
      <w:spacing w:before="140"/>
      <w:outlineLvl w:val="2"/>
    </w:pPr>
    <w:rPr>
      <w:rFonts w:ascii="Liberation Serif" w:eastAsia="DejaVu Sans" w:hAnsi="Liberation Serif" w:cs="DejaVu San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rsid w:val="00385B0F"/>
    <w:pPr>
      <w:keepNext/>
      <w:spacing w:before="240" w:after="120"/>
    </w:pPr>
    <w:rPr>
      <w:rFonts w:ascii="Liberation Sans" w:eastAsia="Noto Sans CJK SC" w:hAnsi="Liberation Sans" w:cs="Lohit Devanagari"/>
      <w:sz w:val="28"/>
      <w:szCs w:val="28"/>
    </w:rPr>
  </w:style>
  <w:style w:type="paragraph" w:styleId="BodyText">
    <w:name w:val="Body Text"/>
    <w:basedOn w:val="Normal"/>
    <w:rsid w:val="00385B0F"/>
    <w:pPr>
      <w:spacing w:after="140" w:line="276" w:lineRule="auto"/>
    </w:pPr>
  </w:style>
  <w:style w:type="paragraph" w:styleId="List">
    <w:name w:val="List"/>
    <w:basedOn w:val="BodyText"/>
    <w:rsid w:val="00385B0F"/>
    <w:rPr>
      <w:rFonts w:cs="Lohit Devanagari"/>
    </w:rPr>
  </w:style>
  <w:style w:type="paragraph" w:styleId="Caption">
    <w:name w:val="caption"/>
    <w:basedOn w:val="Normal"/>
    <w:qFormat/>
    <w:rsid w:val="00385B0F"/>
    <w:pPr>
      <w:suppressLineNumbers/>
      <w:spacing w:before="120" w:after="120"/>
    </w:pPr>
    <w:rPr>
      <w:rFonts w:cs="Lohit Devanagari"/>
      <w:i/>
      <w:iCs/>
      <w:sz w:val="24"/>
      <w:szCs w:val="24"/>
    </w:rPr>
  </w:style>
  <w:style w:type="paragraph" w:customStyle="1" w:styleId="Index">
    <w:name w:val="Index"/>
    <w:basedOn w:val="Normal"/>
    <w:qFormat/>
    <w:rsid w:val="00385B0F"/>
    <w:pPr>
      <w:suppressLineNumbers/>
    </w:pPr>
    <w:rPr>
      <w:rFonts w:cs="Lohit Devanagari"/>
    </w:rPr>
  </w:style>
  <w:style w:type="paragraph" w:customStyle="1" w:styleId="TableContents">
    <w:name w:val="Table Contents"/>
    <w:basedOn w:val="Normal"/>
    <w:qFormat/>
    <w:rsid w:val="00385B0F"/>
    <w:pPr>
      <w:suppressLineNumbers/>
    </w:pPr>
  </w:style>
  <w:style w:type="paragraph" w:customStyle="1" w:styleId="TableHeading">
    <w:name w:val="Table Heading"/>
    <w:basedOn w:val="TableContents"/>
    <w:qFormat/>
    <w:rsid w:val="00385B0F"/>
    <w:pPr>
      <w:jc w:val="center"/>
    </w:pPr>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1182</Words>
  <Characters>6744</Characters>
  <Application>Microsoft Office Word</Application>
  <DocSecurity>0</DocSecurity>
  <Lines>56</Lines>
  <Paragraphs>15</Paragraphs>
  <ScaleCrop>false</ScaleCrop>
  <Company>Home</Company>
  <LinksUpToDate>false</LinksUpToDate>
  <CharactersWithSpaces>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dc:description/>
  <cp:lastModifiedBy>BMW</cp:lastModifiedBy>
  <cp:revision>8</cp:revision>
  <dcterms:created xsi:type="dcterms:W3CDTF">2021-04-29T10:18:00Z</dcterms:created>
  <dcterms:modified xsi:type="dcterms:W3CDTF">2021-05-14T08:30:00Z</dcterms:modified>
  <dc:language>en-US</dc:language>
</cp:coreProperties>
</file>